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6BC2" w:rsidRDefault="00946BC2">
      <w:pPr>
        <w:rPr>
          <w:b/>
          <w:sz w:val="28"/>
        </w:rPr>
      </w:pPr>
    </w:p>
    <w:p w:rsidR="00334D05" w:rsidRPr="00334D05" w:rsidRDefault="00CB564F" w:rsidP="00334D05">
      <w:pPr>
        <w:rPr>
          <w:b/>
          <w:sz w:val="44"/>
          <w:szCs w:val="44"/>
        </w:rPr>
      </w:pPr>
      <w:r w:rsidRPr="00946BC2">
        <w:rPr>
          <w:b/>
          <w:sz w:val="44"/>
          <w:szCs w:val="44"/>
        </w:rPr>
        <w:t>Competency-Bas</w:t>
      </w:r>
      <w:r w:rsidR="00334D05">
        <w:rPr>
          <w:b/>
          <w:sz w:val="44"/>
          <w:szCs w:val="44"/>
        </w:rPr>
        <w:t>ed Position Description</w:t>
      </w:r>
      <w:r w:rsidR="00411465">
        <w:rPr>
          <w:b/>
          <w:sz w:val="44"/>
          <w:szCs w:val="44"/>
        </w:rPr>
        <w:t xml:space="preserve"> Template</w:t>
      </w:r>
    </w:p>
    <w:p w:rsidR="002D5A1B" w:rsidRDefault="002D5A1B" w:rsidP="002D5A1B">
      <w:pPr>
        <w:rPr>
          <w:b/>
          <w:sz w:val="24"/>
        </w:rPr>
      </w:pPr>
      <w:r>
        <w:rPr>
          <w:b/>
          <w:sz w:val="24"/>
        </w:rPr>
        <w:t xml:space="preserve">Program/Department: </w:t>
      </w:r>
    </w:p>
    <w:p w:rsidR="002D5A1B" w:rsidRDefault="002D5A1B" w:rsidP="002D5A1B">
      <w:pPr>
        <w:rPr>
          <w:b/>
          <w:sz w:val="24"/>
        </w:rPr>
      </w:pPr>
      <w:r>
        <w:rPr>
          <w:b/>
          <w:sz w:val="24"/>
        </w:rPr>
        <w:t>Position Title:  Laboratory Assistant</w:t>
      </w:r>
    </w:p>
    <w:p w:rsidR="002D5A1B" w:rsidRDefault="002D5A1B" w:rsidP="002D5A1B">
      <w:pPr>
        <w:rPr>
          <w:b/>
          <w:sz w:val="24"/>
        </w:rPr>
      </w:pPr>
      <w:r>
        <w:rPr>
          <w:b/>
          <w:sz w:val="24"/>
        </w:rPr>
        <w:t>Reports to: Public Health Microbiologist Supervisor</w:t>
      </w:r>
    </w:p>
    <w:p w:rsidR="002D5A1B" w:rsidRDefault="002D5A1B" w:rsidP="002D5A1B">
      <w:pPr>
        <w:rPr>
          <w:b/>
          <w:sz w:val="24"/>
        </w:rPr>
      </w:pPr>
      <w:r>
        <w:rPr>
          <w:b/>
          <w:sz w:val="24"/>
        </w:rPr>
        <w:t xml:space="preserve">Previous Incumbent: </w:t>
      </w:r>
    </w:p>
    <w:p w:rsidR="002D5A1B" w:rsidRDefault="002D5A1B" w:rsidP="002D5A1B">
      <w:pPr>
        <w:rPr>
          <w:b/>
          <w:sz w:val="24"/>
        </w:rPr>
      </w:pPr>
      <w:r>
        <w:rPr>
          <w:b/>
          <w:sz w:val="24"/>
        </w:rPr>
        <w:t>Job Position Summary:</w:t>
      </w:r>
    </w:p>
    <w:p w:rsidR="002D5A1B" w:rsidRPr="00B46211" w:rsidRDefault="002D5A1B" w:rsidP="002D5A1B">
      <w:pPr>
        <w:autoSpaceDE w:val="0"/>
        <w:autoSpaceDN w:val="0"/>
        <w:adjustRightInd w:val="0"/>
        <w:spacing w:after="0" w:line="240" w:lineRule="auto"/>
        <w:rPr>
          <w:rFonts w:cs="Tahoma"/>
          <w:sz w:val="24"/>
          <w:szCs w:val="24"/>
        </w:rPr>
      </w:pPr>
      <w:r w:rsidRPr="00B46211">
        <w:rPr>
          <w:rFonts w:cs="Tahoma"/>
          <w:sz w:val="24"/>
          <w:szCs w:val="24"/>
        </w:rPr>
        <w:t xml:space="preserve">Under supervision, this position is responsible of performing a variety of paraprofessional laboratory work related to the performance of standardized bacteriological, physical and chemical tests; maintaining and monitoring the performance of laboratory equipment; assisting in the preparation of specimens for examination; and other related work as required. </w:t>
      </w:r>
    </w:p>
    <w:p w:rsidR="002D5A1B" w:rsidRPr="00B46211" w:rsidRDefault="002D5A1B" w:rsidP="002D5A1B">
      <w:pPr>
        <w:autoSpaceDE w:val="0"/>
        <w:autoSpaceDN w:val="0"/>
        <w:adjustRightInd w:val="0"/>
        <w:spacing w:after="0" w:line="240" w:lineRule="auto"/>
        <w:rPr>
          <w:rFonts w:cs="Tahoma"/>
          <w:sz w:val="24"/>
          <w:szCs w:val="24"/>
        </w:rPr>
      </w:pPr>
    </w:p>
    <w:p w:rsidR="002D5A1B" w:rsidRPr="00B46211" w:rsidRDefault="002D5A1B" w:rsidP="002D5A1B">
      <w:pPr>
        <w:rPr>
          <w:b/>
          <w:sz w:val="24"/>
          <w:szCs w:val="24"/>
        </w:rPr>
      </w:pPr>
      <w:r w:rsidRPr="00B46211">
        <w:rPr>
          <w:b/>
          <w:sz w:val="24"/>
          <w:szCs w:val="24"/>
        </w:rPr>
        <w:t>Essential Job Duties:</w:t>
      </w:r>
    </w:p>
    <w:p w:rsidR="002D5A1B" w:rsidRPr="00B46211" w:rsidRDefault="002D5A1B" w:rsidP="002D5A1B">
      <w:pPr>
        <w:autoSpaceDE w:val="0"/>
        <w:autoSpaceDN w:val="0"/>
        <w:adjustRightInd w:val="0"/>
        <w:spacing w:after="0" w:line="240" w:lineRule="auto"/>
        <w:rPr>
          <w:rFonts w:cs="Tahoma"/>
          <w:sz w:val="24"/>
          <w:szCs w:val="24"/>
        </w:rPr>
      </w:pPr>
      <w:r w:rsidRPr="00B46211">
        <w:rPr>
          <w:rFonts w:cs="Tahoma"/>
          <w:sz w:val="24"/>
          <w:szCs w:val="24"/>
        </w:rPr>
        <w:t>Laboratory Assistants are generally assigned to the various sections of the Public Health laboratory on a rotational basis. Depending on the area of assignment, Laboratory Assistants may assist licensed laboratory personnel in testing, or may independently conduct tests not requiring a license.</w:t>
      </w:r>
    </w:p>
    <w:p w:rsidR="002D5A1B" w:rsidRPr="00B46211" w:rsidRDefault="002D5A1B" w:rsidP="002D5A1B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cs="Tahoma"/>
          <w:sz w:val="24"/>
          <w:szCs w:val="24"/>
        </w:rPr>
      </w:pPr>
    </w:p>
    <w:p w:rsidR="002D5A1B" w:rsidRPr="00B46211" w:rsidRDefault="002D5A1B" w:rsidP="002D5A1B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cs="Tahoma"/>
          <w:sz w:val="24"/>
          <w:szCs w:val="24"/>
        </w:rPr>
      </w:pPr>
      <w:r w:rsidRPr="00B46211">
        <w:rPr>
          <w:rFonts w:cs="Tahoma"/>
          <w:sz w:val="24"/>
          <w:szCs w:val="24"/>
        </w:rPr>
        <w:t>Performs routine preparation of specimens, including logging, numbering, washing, filtering, labeling, staining, planting, transferring and mounting of specimens.</w:t>
      </w:r>
    </w:p>
    <w:p w:rsidR="002D5A1B" w:rsidRPr="00B46211" w:rsidRDefault="002D5A1B" w:rsidP="002D5A1B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cs="Tahoma"/>
          <w:sz w:val="24"/>
          <w:szCs w:val="24"/>
        </w:rPr>
      </w:pPr>
      <w:r w:rsidRPr="00B46211">
        <w:rPr>
          <w:rFonts w:cs="Tahoma"/>
          <w:sz w:val="24"/>
          <w:szCs w:val="24"/>
        </w:rPr>
        <w:t>Prepares special media, reagents, stains and sterile solutions; stocks workstations with necessary supplies.</w:t>
      </w:r>
    </w:p>
    <w:p w:rsidR="002D5A1B" w:rsidRPr="00B46211" w:rsidRDefault="002D5A1B" w:rsidP="002D5A1B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cs="Tahoma"/>
          <w:sz w:val="24"/>
          <w:szCs w:val="24"/>
        </w:rPr>
      </w:pPr>
      <w:r w:rsidRPr="00B46211">
        <w:rPr>
          <w:rFonts w:cs="Tahoma"/>
          <w:sz w:val="24"/>
          <w:szCs w:val="24"/>
        </w:rPr>
        <w:t>Assists Public Health Microbiologists or other licensed laboratory personnel in performing bacteriological, physical and chemical tests; and may independently conduct and monitor tests as permitted under the law.</w:t>
      </w:r>
    </w:p>
    <w:p w:rsidR="002D5A1B" w:rsidRPr="00B46211" w:rsidRDefault="002D5A1B" w:rsidP="002D5A1B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cs="Tahoma"/>
          <w:sz w:val="24"/>
          <w:szCs w:val="24"/>
        </w:rPr>
      </w:pPr>
      <w:r w:rsidRPr="00B46211">
        <w:rPr>
          <w:rFonts w:cs="Tahoma"/>
          <w:sz w:val="24"/>
          <w:szCs w:val="24"/>
        </w:rPr>
        <w:t>Sets up and dismantles apparatus or equipment used in the examination of specimens; cares for and calibrates laboratory equipment.</w:t>
      </w:r>
    </w:p>
    <w:p w:rsidR="002D5A1B" w:rsidRPr="00B46211" w:rsidRDefault="002D5A1B" w:rsidP="002D5A1B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cs="Tahoma"/>
          <w:sz w:val="24"/>
          <w:szCs w:val="24"/>
        </w:rPr>
      </w:pPr>
      <w:r w:rsidRPr="00B46211">
        <w:rPr>
          <w:rFonts w:cs="Tahoma"/>
          <w:sz w:val="24"/>
          <w:szCs w:val="24"/>
        </w:rPr>
        <w:t>Prepares animal specimens for examination by microbiologist.</w:t>
      </w:r>
    </w:p>
    <w:p w:rsidR="002D5A1B" w:rsidRPr="00B46211" w:rsidRDefault="002D5A1B" w:rsidP="002D5A1B">
      <w:pPr>
        <w:rPr>
          <w:i/>
          <w:sz w:val="24"/>
          <w:szCs w:val="24"/>
        </w:rPr>
      </w:pPr>
    </w:p>
    <w:p w:rsidR="002D5A1B" w:rsidRPr="00B46211" w:rsidRDefault="002D5A1B" w:rsidP="002D5A1B">
      <w:pPr>
        <w:rPr>
          <w:b/>
          <w:sz w:val="24"/>
          <w:szCs w:val="24"/>
        </w:rPr>
      </w:pPr>
      <w:r w:rsidRPr="00B46211">
        <w:rPr>
          <w:b/>
          <w:sz w:val="24"/>
          <w:szCs w:val="24"/>
        </w:rPr>
        <w:t>Job Position Competencies: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b/>
          <w:i/>
          <w:sz w:val="24"/>
          <w:szCs w:val="24"/>
        </w:rPr>
      </w:pPr>
      <w:r w:rsidRPr="00B46211">
        <w:rPr>
          <w:rFonts w:asciiTheme="minorHAnsi" w:hAnsiTheme="minorHAnsi" w:cs="Courier New"/>
          <w:b/>
          <w:i/>
          <w:sz w:val="24"/>
          <w:szCs w:val="24"/>
        </w:rPr>
        <w:t>General Laboratory Practice (30%)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b/>
          <w:sz w:val="24"/>
          <w:szCs w:val="24"/>
        </w:rPr>
      </w:pPr>
      <w:r w:rsidRPr="00B46211">
        <w:rPr>
          <w:rFonts w:asciiTheme="minorHAnsi" w:hAnsiTheme="minorHAnsi" w:cs="Courier New"/>
          <w:b/>
          <w:sz w:val="24"/>
          <w:szCs w:val="24"/>
        </w:rPr>
        <w:t>GEN 1.00 - General technical and laboratory practice knowledge: demonstrates general knowledge and skills related to the scientific and technical components of laboratory testing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20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lastRenderedPageBreak/>
        <w:t>Applies basic scientific and laboratory concepts and theories related to the specific testing that is conducted in work area (B)</w:t>
      </w:r>
    </w:p>
    <w:p w:rsidR="002D5A1B" w:rsidRPr="00B46211" w:rsidRDefault="002D5A1B" w:rsidP="00B46211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20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Discusses scientific and technical advances relevant to own work (C)</w:t>
      </w:r>
    </w:p>
    <w:p w:rsidR="002D5A1B" w:rsidRPr="00B46211" w:rsidRDefault="002D5A1B" w:rsidP="00B46211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20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Resolves routine technical problems with methods, procedures, and laboratory equipment including documenting corrective action (C)</w:t>
      </w:r>
    </w:p>
    <w:p w:rsidR="002D5A1B" w:rsidRPr="00B46211" w:rsidRDefault="002D5A1B" w:rsidP="00B46211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20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Documents actions and results using established paper or electronic systems (B)</w:t>
      </w:r>
    </w:p>
    <w:p w:rsidR="002D5A1B" w:rsidRPr="00B46211" w:rsidRDefault="002D5A1B" w:rsidP="00B46211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20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Acts as a good steward of public funds and resources (B)</w:t>
      </w:r>
    </w:p>
    <w:p w:rsidR="002D5A1B" w:rsidRPr="00B46211" w:rsidRDefault="002D5A1B" w:rsidP="00B46211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20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Applies scientific ethics and rules of conduct to the workplace (B)</w:t>
      </w:r>
    </w:p>
    <w:p w:rsidR="002D5A1B" w:rsidRPr="00B46211" w:rsidRDefault="002D5A1B" w:rsidP="00B46211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b/>
          <w:sz w:val="24"/>
          <w:szCs w:val="24"/>
        </w:rPr>
      </w:pPr>
      <w:r w:rsidRPr="00B46211">
        <w:rPr>
          <w:rFonts w:asciiTheme="minorHAnsi" w:hAnsiTheme="minorHAnsi" w:cs="Courier New"/>
          <w:b/>
          <w:sz w:val="24"/>
          <w:szCs w:val="24"/>
        </w:rPr>
        <w:t>GEN 2.00 - Reagent Use and Storage: adheres to policies and principles regarding the use and storage of laboratory reagents and supplies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21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Adheres to policies, processes, and procedures for use and storage of reagents and supplies (B)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21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Adheres to policies, processes, and procedures for preparing reagents (B)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b/>
          <w:sz w:val="24"/>
          <w:szCs w:val="24"/>
        </w:rPr>
      </w:pPr>
      <w:r w:rsidRPr="00B46211">
        <w:rPr>
          <w:rFonts w:asciiTheme="minorHAnsi" w:hAnsiTheme="minorHAnsi" w:cs="Courier New"/>
          <w:b/>
          <w:sz w:val="24"/>
          <w:szCs w:val="24"/>
        </w:rPr>
        <w:t>GEN 3.00 - Equipment Use: adheres to policies and principles regarding the use, maintenance, and calibration of laboratory equipment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22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Adheres to policies, processes, and procedures for operating laboratory equipment (B)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22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Performs routine system checks and maintenance (B)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22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Performs calibration of routine instruments and equipment (B)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22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Documents maintenance and calibration activities (B)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b/>
          <w:sz w:val="24"/>
          <w:szCs w:val="24"/>
        </w:rPr>
      </w:pPr>
      <w:r w:rsidRPr="00B46211">
        <w:rPr>
          <w:rFonts w:asciiTheme="minorHAnsi" w:hAnsiTheme="minorHAnsi" w:cs="Courier New"/>
          <w:b/>
          <w:sz w:val="24"/>
          <w:szCs w:val="24"/>
        </w:rPr>
        <w:t>GEN 4.00 - Pre-examination: performs steps in the pre-examination phase of testing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23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Follows policies, processes, and procedures for the management of samples (B)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b/>
          <w:sz w:val="24"/>
          <w:szCs w:val="24"/>
        </w:rPr>
      </w:pPr>
      <w:r w:rsidRPr="00B46211">
        <w:rPr>
          <w:rFonts w:asciiTheme="minorHAnsi" w:hAnsiTheme="minorHAnsi" w:cs="Courier New"/>
          <w:b/>
          <w:sz w:val="24"/>
          <w:szCs w:val="24"/>
        </w:rPr>
        <w:t>GEN 5.00 - Examination: performs steps in the examination phase of testing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b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23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Performs sample analyses (B)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23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lastRenderedPageBreak/>
        <w:t>Adheres to policies, processes, and procedures for testing workflow (B)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23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Performs QC activities (B)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b/>
          <w:sz w:val="24"/>
          <w:szCs w:val="24"/>
        </w:rPr>
      </w:pPr>
      <w:r w:rsidRPr="00B46211">
        <w:rPr>
          <w:rFonts w:asciiTheme="minorHAnsi" w:hAnsiTheme="minorHAnsi" w:cs="Courier New"/>
          <w:b/>
          <w:sz w:val="24"/>
          <w:szCs w:val="24"/>
        </w:rPr>
        <w:t>GEN 7.00 - Regulatory Compliance: complies with regulations and guidelines governing laboratory testing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24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Complies with regulatory requirements and guidelines related to laboratory testing (B)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24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Complies with policies, processes, and procedures regarding protected information (B)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b/>
          <w:i/>
          <w:sz w:val="24"/>
          <w:szCs w:val="24"/>
        </w:rPr>
      </w:pPr>
      <w:r w:rsidRPr="00B46211">
        <w:rPr>
          <w:rFonts w:asciiTheme="minorHAnsi" w:hAnsiTheme="minorHAnsi" w:cs="Courier New"/>
          <w:b/>
          <w:i/>
          <w:sz w:val="24"/>
          <w:szCs w:val="24"/>
        </w:rPr>
        <w:t>Microbiology (30%)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b/>
          <w:sz w:val="24"/>
          <w:szCs w:val="24"/>
        </w:rPr>
      </w:pPr>
      <w:r w:rsidRPr="00B46211">
        <w:rPr>
          <w:rFonts w:asciiTheme="minorHAnsi" w:hAnsiTheme="minorHAnsi" w:cs="Courier New"/>
          <w:b/>
          <w:sz w:val="24"/>
          <w:szCs w:val="24"/>
        </w:rPr>
        <w:t>MCB 1.00 Concepts and techniques: adheres to policies and principles governing actions and behaviors that are essential when working in a microbiology laboratory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25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Relates microbiological concepts and theories to the specific tests that are conducted (C)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25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Integrates basic microbiological techniques into new laboratory practices and procedures (C)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b/>
          <w:sz w:val="24"/>
          <w:szCs w:val="24"/>
        </w:rPr>
      </w:pPr>
      <w:r w:rsidRPr="00B46211">
        <w:rPr>
          <w:rFonts w:asciiTheme="minorHAnsi" w:hAnsiTheme="minorHAnsi" w:cs="Courier New"/>
          <w:b/>
          <w:sz w:val="24"/>
          <w:szCs w:val="24"/>
        </w:rPr>
        <w:t>MCB 2.00 Facilities and safety: works safely with microbiological agents within a laboratory facility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26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Recognizes laboratory hazards and hazard communication related to microbiological agents (B)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26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Adheres to policies, processes, and procedures regarding safe work practices related to microbiological agents (B)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26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Adheres to policies, processes, and procedures regarding PPE use for work related to microbiological agents (B)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26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Adheres to policies, processes, and procedures regarding the use of biosafety cabinets and other engineering controls (B)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26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Adheres to policies, processes, and procedures regarding waste management related to microbiological agents (B)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26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Adheres to policies, processes, and procedures regarding decontamination (B)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26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Adheres to policies, processes, and procedures regarding storage of microbiological materials (B)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b/>
          <w:sz w:val="24"/>
          <w:szCs w:val="24"/>
        </w:rPr>
      </w:pPr>
      <w:r w:rsidRPr="00B46211">
        <w:rPr>
          <w:rFonts w:asciiTheme="minorHAnsi" w:hAnsiTheme="minorHAnsi" w:cs="Courier New"/>
          <w:b/>
          <w:sz w:val="24"/>
          <w:szCs w:val="24"/>
        </w:rPr>
        <w:t>MCB 3.00 Pre-examination: assesses microbiological samples during the pre-examination phase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27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Consults on non-routine sample collection, labeling, and handling procedures for microbiological examination (C)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27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Performs packing and shipping of Category A and Category B infectious substances (B)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27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Performs procedures for accessioning and receipt of microbiological samples (B)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27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Performs systematic tracking of microbiological samples from receipt to final disposition (B)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27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Assesses sample appropriateness for a particular microbiological examination (B)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27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Adheres to policies, processes, and procedures regarding testing workflow (B)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27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Adheres to policies, processes, and procedures regarding NAAT workflow (B)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27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Performs sample set-up procedures for microbiological examinations (B)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27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Performs procedures for microbiological sample storage and handling prior to examination (B)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27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Describes which microbiological examination requests require epidemiologic notification and consultation (B)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b/>
          <w:sz w:val="24"/>
          <w:szCs w:val="24"/>
        </w:rPr>
      </w:pPr>
      <w:r w:rsidRPr="00B46211">
        <w:rPr>
          <w:rFonts w:asciiTheme="minorHAnsi" w:hAnsiTheme="minorHAnsi" w:cs="Courier New"/>
          <w:b/>
          <w:sz w:val="24"/>
          <w:szCs w:val="24"/>
        </w:rPr>
        <w:t>MCB 6.00 Regulatory compliance: ensures regulatory compliance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28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Recognizes NCEs in laboratory processes (B)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b/>
          <w:i/>
          <w:sz w:val="24"/>
          <w:szCs w:val="24"/>
        </w:rPr>
      </w:pPr>
      <w:r w:rsidRPr="00B46211">
        <w:rPr>
          <w:rFonts w:asciiTheme="minorHAnsi" w:hAnsiTheme="minorHAnsi" w:cs="Courier New"/>
          <w:b/>
          <w:i/>
          <w:sz w:val="24"/>
          <w:szCs w:val="24"/>
        </w:rPr>
        <w:t>Quality Management Systems (10%)</w:t>
      </w:r>
    </w:p>
    <w:p w:rsidR="002D5A1B" w:rsidRPr="00B46211" w:rsidRDefault="002D5A1B" w:rsidP="002D5A1B">
      <w:pPr>
        <w:pStyle w:val="PlainText"/>
        <w:ind w:firstLine="720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b/>
          <w:sz w:val="24"/>
          <w:szCs w:val="24"/>
        </w:rPr>
      </w:pPr>
      <w:r w:rsidRPr="00B46211">
        <w:rPr>
          <w:rFonts w:asciiTheme="minorHAnsi" w:hAnsiTheme="minorHAnsi" w:cs="Courier New"/>
          <w:b/>
          <w:sz w:val="24"/>
          <w:szCs w:val="24"/>
        </w:rPr>
        <w:t>QMS 01.00 Organization: ensures that the laboratory’s organizational structure is committed to achieving and maintaining quality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28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lastRenderedPageBreak/>
        <w:t>Demonstrates actions consistent with quality concepts and good professional practice (C)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28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Adheres to the culture, programs, and communication processes regarding quality, safety, and ethical practices (C)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b/>
          <w:sz w:val="24"/>
          <w:szCs w:val="24"/>
        </w:rPr>
      </w:pPr>
      <w:r w:rsidRPr="00B46211">
        <w:rPr>
          <w:rFonts w:asciiTheme="minorHAnsi" w:hAnsiTheme="minorHAnsi" w:cs="Courier New"/>
          <w:b/>
          <w:sz w:val="24"/>
          <w:szCs w:val="24"/>
        </w:rPr>
        <w:t>QMS 09.00 Information management: ensures the confidentiality, security, and integrity of generated and disseminated information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29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Complies with policies, processes, and procedures for maintaining confidentiality of internally and externally derived information (C)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29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Complies with policies, processes, and procedures for securing information (C)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B46211" w:rsidP="00B46211">
      <w:pPr>
        <w:pStyle w:val="PlainText"/>
        <w:numPr>
          <w:ilvl w:val="0"/>
          <w:numId w:val="29"/>
        </w:numPr>
        <w:rPr>
          <w:rFonts w:asciiTheme="minorHAnsi" w:hAnsiTheme="minorHAnsi" w:cs="Courier New"/>
          <w:sz w:val="24"/>
          <w:szCs w:val="24"/>
        </w:rPr>
      </w:pPr>
      <w:r>
        <w:rPr>
          <w:rFonts w:asciiTheme="minorHAnsi" w:hAnsiTheme="minorHAnsi" w:cs="Courier New"/>
          <w:sz w:val="24"/>
          <w:szCs w:val="24"/>
        </w:rPr>
        <w:t>C</w:t>
      </w:r>
      <w:r w:rsidR="002D5A1B" w:rsidRPr="00B46211">
        <w:rPr>
          <w:rFonts w:asciiTheme="minorHAnsi" w:hAnsiTheme="minorHAnsi" w:cs="Courier New"/>
          <w:sz w:val="24"/>
          <w:szCs w:val="24"/>
        </w:rPr>
        <w:t>omplies with policies, processes, and procedures to ensure the integrity of information (C)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b/>
          <w:sz w:val="24"/>
          <w:szCs w:val="24"/>
        </w:rPr>
      </w:pPr>
      <w:r w:rsidRPr="00B46211">
        <w:rPr>
          <w:rFonts w:asciiTheme="minorHAnsi" w:hAnsiTheme="minorHAnsi" w:cs="Courier New"/>
          <w:b/>
          <w:sz w:val="24"/>
          <w:szCs w:val="24"/>
        </w:rPr>
        <w:t>QMS 12.00 Continual improvement: ensures mechanisms for continuous quality improvement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30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Implements changes identified through the CQI program (C)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30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Follows CQI processes and procedures for troubleshooting and documenting required CQI activities (C)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b/>
          <w:sz w:val="24"/>
          <w:szCs w:val="24"/>
          <w:u w:val="single"/>
        </w:rPr>
      </w:pP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b/>
          <w:i/>
          <w:sz w:val="24"/>
          <w:szCs w:val="24"/>
        </w:rPr>
      </w:pPr>
      <w:r w:rsidRPr="00B46211">
        <w:rPr>
          <w:rFonts w:asciiTheme="minorHAnsi" w:hAnsiTheme="minorHAnsi" w:cs="Courier New"/>
          <w:b/>
          <w:i/>
          <w:sz w:val="24"/>
          <w:szCs w:val="24"/>
        </w:rPr>
        <w:t xml:space="preserve">Communications </w:t>
      </w:r>
      <w:bookmarkStart w:id="0" w:name="_GoBack"/>
      <w:bookmarkEnd w:id="0"/>
      <w:r w:rsidRPr="00B46211">
        <w:rPr>
          <w:rFonts w:asciiTheme="minorHAnsi" w:hAnsiTheme="minorHAnsi" w:cs="Courier New"/>
          <w:b/>
          <w:i/>
          <w:sz w:val="24"/>
          <w:szCs w:val="24"/>
        </w:rPr>
        <w:t>(10%)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b/>
          <w:sz w:val="24"/>
          <w:szCs w:val="24"/>
        </w:rPr>
      </w:pPr>
      <w:r w:rsidRPr="00B46211">
        <w:rPr>
          <w:rFonts w:asciiTheme="minorHAnsi" w:hAnsiTheme="minorHAnsi" w:cs="Courier New"/>
          <w:b/>
          <w:sz w:val="24"/>
          <w:szCs w:val="24"/>
        </w:rPr>
        <w:t>COM 1.00 Communication techniques: deploys formal written and oral communication strategies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31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Applies logical structure to written communications (C)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31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Applies language and tone in oral communications tailored to target audience (C)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b/>
          <w:sz w:val="24"/>
          <w:szCs w:val="24"/>
        </w:rPr>
      </w:pPr>
      <w:r w:rsidRPr="00B46211">
        <w:rPr>
          <w:rFonts w:asciiTheme="minorHAnsi" w:hAnsiTheme="minorHAnsi" w:cs="Courier New"/>
          <w:b/>
          <w:sz w:val="24"/>
          <w:szCs w:val="24"/>
        </w:rPr>
        <w:t>COM 2.00 Active listening skills: displays active listening skills when interacting with others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32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Provides feedback based on the dialogue summary (P)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32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Exhibits active listening during the dialogue exchange (P)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32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Provides counterpoints while being respectful of disagreements (C)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b/>
          <w:sz w:val="24"/>
          <w:szCs w:val="24"/>
        </w:rPr>
      </w:pPr>
      <w:r w:rsidRPr="00B46211">
        <w:rPr>
          <w:rFonts w:asciiTheme="minorHAnsi" w:hAnsiTheme="minorHAnsi" w:cs="Courier New"/>
          <w:b/>
          <w:sz w:val="24"/>
          <w:szCs w:val="24"/>
        </w:rPr>
        <w:t>COM 3.00 Comprehension of materials: demonstrates comprehension of written documents and directions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33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Adapts concepts from written text for use in new situations (P)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b/>
          <w:sz w:val="24"/>
          <w:szCs w:val="24"/>
        </w:rPr>
      </w:pPr>
      <w:r w:rsidRPr="00B46211">
        <w:rPr>
          <w:rFonts w:asciiTheme="minorHAnsi" w:hAnsiTheme="minorHAnsi" w:cs="Courier New"/>
          <w:b/>
          <w:sz w:val="24"/>
          <w:szCs w:val="24"/>
        </w:rPr>
        <w:t>COM 4.00 Communication technology: utilizes technology to communicate information to internal and external partners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33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Uses designated technology for sharing information (C)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b/>
          <w:sz w:val="24"/>
          <w:szCs w:val="24"/>
        </w:rPr>
      </w:pPr>
      <w:r w:rsidRPr="00B46211">
        <w:rPr>
          <w:rFonts w:asciiTheme="minorHAnsi" w:hAnsiTheme="minorHAnsi" w:cs="Courier New"/>
          <w:b/>
          <w:sz w:val="24"/>
          <w:szCs w:val="24"/>
        </w:rPr>
        <w:t>COM 5.00 Communication professionalism: ensures professionalism in communication with customers and stakeholders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33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Displays professional demeanor in all situations with customers and stakeholders (C)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33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Determines information needs through collaboration with customers and stakeholders (C)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33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Shares information as directed (B)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b/>
          <w:i/>
          <w:sz w:val="24"/>
          <w:szCs w:val="24"/>
        </w:rPr>
      </w:pPr>
      <w:r w:rsidRPr="00B46211">
        <w:rPr>
          <w:rFonts w:asciiTheme="minorHAnsi" w:hAnsiTheme="minorHAnsi" w:cs="Courier New"/>
          <w:b/>
          <w:i/>
          <w:sz w:val="24"/>
          <w:szCs w:val="24"/>
        </w:rPr>
        <w:t>Ethics (5%)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b/>
          <w:sz w:val="24"/>
          <w:szCs w:val="24"/>
        </w:rPr>
      </w:pPr>
      <w:r w:rsidRPr="00B46211">
        <w:rPr>
          <w:rFonts w:asciiTheme="minorHAnsi" w:hAnsiTheme="minorHAnsi" w:cs="Courier New"/>
          <w:b/>
          <w:sz w:val="24"/>
          <w:szCs w:val="24"/>
        </w:rPr>
        <w:t xml:space="preserve">ETH 1.00 Professional Code of Conduct: adheres to policies and principles governing professional ethics and rules of conduct when working in a public health laboratory 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34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Exemplifies integrity in interactions and activities (C)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34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Applies ethical principles and professional rules of conduct to the workplace (B)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34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Acts as a good steward of public funds and resources (B)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b/>
          <w:sz w:val="24"/>
          <w:szCs w:val="24"/>
        </w:rPr>
      </w:pPr>
      <w:r w:rsidRPr="00B46211">
        <w:rPr>
          <w:rFonts w:asciiTheme="minorHAnsi" w:hAnsiTheme="minorHAnsi" w:cs="Courier New"/>
          <w:b/>
          <w:sz w:val="24"/>
          <w:szCs w:val="24"/>
        </w:rPr>
        <w:t>ETH 2.00 Scientific Code of Conduct: adheres to policies and principles governing scientific ethics and rules of conduct when working in a public health laboratory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35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Applies scientific ethics and rules of conduct to the workplace (B)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b/>
          <w:sz w:val="24"/>
          <w:szCs w:val="24"/>
          <w:u w:val="single"/>
        </w:rPr>
      </w:pP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b/>
          <w:i/>
          <w:sz w:val="24"/>
          <w:szCs w:val="24"/>
        </w:rPr>
      </w:pPr>
      <w:r w:rsidRPr="00B46211">
        <w:rPr>
          <w:rFonts w:asciiTheme="minorHAnsi" w:hAnsiTheme="minorHAnsi" w:cs="Courier New"/>
          <w:b/>
          <w:i/>
          <w:sz w:val="24"/>
          <w:szCs w:val="24"/>
        </w:rPr>
        <w:t>Management and Leadership (5%)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b/>
          <w:sz w:val="24"/>
          <w:szCs w:val="24"/>
        </w:rPr>
      </w:pPr>
      <w:r w:rsidRPr="00B46211">
        <w:rPr>
          <w:rFonts w:asciiTheme="minorHAnsi" w:hAnsiTheme="minorHAnsi" w:cs="Courier New"/>
          <w:b/>
          <w:sz w:val="24"/>
          <w:szCs w:val="24"/>
        </w:rPr>
        <w:t>MLD 1.00 General management: ensures sound management of laboratory operations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35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lastRenderedPageBreak/>
        <w:t>Complies with laws and regulations related to laboratory operations (B)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35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Evaluates customer service satisfaction and trends (C)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b/>
          <w:sz w:val="24"/>
          <w:szCs w:val="24"/>
        </w:rPr>
      </w:pPr>
      <w:r w:rsidRPr="00B46211">
        <w:rPr>
          <w:rFonts w:asciiTheme="minorHAnsi" w:hAnsiTheme="minorHAnsi" w:cs="Courier New"/>
          <w:b/>
          <w:sz w:val="24"/>
          <w:szCs w:val="24"/>
        </w:rPr>
        <w:t>MLD 2.00 Policy development: ensures the development, implementation, and review of internal policies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36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Complies with documented internal policies and guidelines (B)</w:t>
      </w:r>
    </w:p>
    <w:p w:rsidR="00B46211" w:rsidRDefault="00B46211" w:rsidP="002D5A1B">
      <w:pPr>
        <w:pStyle w:val="PlainText"/>
        <w:rPr>
          <w:rFonts w:asciiTheme="minorHAnsi" w:hAnsiTheme="minorHAnsi" w:cs="Courier New"/>
          <w:b/>
          <w:i/>
          <w:sz w:val="24"/>
          <w:szCs w:val="24"/>
        </w:rPr>
      </w:pP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b/>
          <w:i/>
          <w:sz w:val="24"/>
          <w:szCs w:val="24"/>
        </w:rPr>
      </w:pPr>
      <w:r w:rsidRPr="00B46211">
        <w:rPr>
          <w:rFonts w:asciiTheme="minorHAnsi" w:hAnsiTheme="minorHAnsi" w:cs="Courier New"/>
          <w:b/>
          <w:i/>
          <w:sz w:val="24"/>
          <w:szCs w:val="24"/>
        </w:rPr>
        <w:t>Safety (5%)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b/>
          <w:sz w:val="24"/>
          <w:szCs w:val="24"/>
        </w:rPr>
      </w:pPr>
      <w:r w:rsidRPr="00B46211">
        <w:rPr>
          <w:rFonts w:asciiTheme="minorHAnsi" w:hAnsiTheme="minorHAnsi" w:cs="Courier New"/>
          <w:b/>
          <w:sz w:val="24"/>
          <w:szCs w:val="24"/>
        </w:rPr>
        <w:t>SPH 1.00 Physical environment: works safely in the physical environment of the laboratory facility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36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Describes the physical hazards in the laboratory facility (B)</w:t>
      </w:r>
    </w:p>
    <w:p w:rsidR="00B46211" w:rsidRDefault="00B46211" w:rsidP="00B46211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36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Describes control measures to be used when physical hazards are present in the laboratory facility (B)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36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Describes work practices to be used when physical hazards are present in the laboratory facility (B)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b/>
          <w:sz w:val="24"/>
          <w:szCs w:val="24"/>
        </w:rPr>
      </w:pPr>
      <w:r w:rsidRPr="00B46211">
        <w:rPr>
          <w:rFonts w:asciiTheme="minorHAnsi" w:hAnsiTheme="minorHAnsi" w:cs="Courier New"/>
          <w:b/>
          <w:sz w:val="24"/>
          <w:szCs w:val="24"/>
        </w:rPr>
        <w:t>SPH 2.00 Biological materials: works safely with biological materials in the laboratory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37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Distinguishes biohazardous materials from non-biohazardous materials in the laboratory (C)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37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Recognizes hazards associated with new biological materials used in laboratory procedures (C)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37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Implements the control measures to be used when working with biological materials (C)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37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Implements the work practices to be used when working with biological materials (C)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37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Describes hazards associated with the laboratory procedures employed (B)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b/>
          <w:sz w:val="24"/>
          <w:szCs w:val="24"/>
        </w:rPr>
      </w:pPr>
      <w:r w:rsidRPr="00B46211">
        <w:rPr>
          <w:rFonts w:asciiTheme="minorHAnsi" w:hAnsiTheme="minorHAnsi" w:cs="Courier New"/>
          <w:b/>
          <w:sz w:val="24"/>
          <w:szCs w:val="24"/>
        </w:rPr>
        <w:t>SPH 4.00 Chemical materials: works safely with chemical materials in the laboratory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38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Distinguishes hazardous chemicals from nonhazardous chemicals in the laboratory (C)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38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Recognizes hazards associated with new chemicals used in the laboratory (C)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38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Implements established control measures when working with chemicals according to the laboratory’s Chemical Hygiene Plan (C)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A531A2" w:rsidRPr="00A531A2" w:rsidRDefault="002D5A1B" w:rsidP="008E4141">
      <w:pPr>
        <w:pStyle w:val="PlainText"/>
        <w:numPr>
          <w:ilvl w:val="0"/>
          <w:numId w:val="38"/>
        </w:numPr>
        <w:rPr>
          <w:rFonts w:asciiTheme="minorHAnsi" w:hAnsiTheme="minorHAnsi" w:cs="Courier New"/>
          <w:b/>
          <w:i/>
          <w:sz w:val="24"/>
          <w:szCs w:val="24"/>
        </w:rPr>
      </w:pPr>
      <w:r w:rsidRPr="00A531A2">
        <w:rPr>
          <w:rFonts w:asciiTheme="minorHAnsi" w:hAnsiTheme="minorHAnsi" w:cs="Courier New"/>
          <w:sz w:val="24"/>
          <w:szCs w:val="24"/>
        </w:rPr>
        <w:t>Implements established work practices when working with chemicals according to the laboratory’s Chemical Hygiene Plan (C)</w:t>
      </w:r>
    </w:p>
    <w:p w:rsidR="00A531A2" w:rsidRDefault="00A531A2" w:rsidP="002D5A1B">
      <w:pPr>
        <w:pStyle w:val="PlainText"/>
        <w:rPr>
          <w:rFonts w:asciiTheme="minorHAnsi" w:hAnsiTheme="minorHAnsi" w:cs="Courier New"/>
          <w:b/>
          <w:i/>
          <w:sz w:val="24"/>
          <w:szCs w:val="24"/>
        </w:rPr>
      </w:pP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b/>
          <w:i/>
          <w:sz w:val="24"/>
          <w:szCs w:val="24"/>
        </w:rPr>
      </w:pPr>
      <w:r w:rsidRPr="00B46211">
        <w:rPr>
          <w:rFonts w:asciiTheme="minorHAnsi" w:hAnsiTheme="minorHAnsi" w:cs="Courier New"/>
          <w:b/>
          <w:i/>
          <w:sz w:val="24"/>
          <w:szCs w:val="24"/>
        </w:rPr>
        <w:t>Security (5%)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b/>
          <w:sz w:val="24"/>
          <w:szCs w:val="24"/>
        </w:rPr>
      </w:pPr>
      <w:r w:rsidRPr="00B46211">
        <w:rPr>
          <w:rFonts w:asciiTheme="minorHAnsi" w:hAnsiTheme="minorHAnsi" w:cs="Courier New"/>
          <w:b/>
          <w:sz w:val="24"/>
          <w:szCs w:val="24"/>
        </w:rPr>
        <w:t>SEC 3.00 Physical security: ensures that physical security is maintained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39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Describes the physical security infrastructure (B)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39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Describes physical security access control policies, processes, procedures, and systems (B)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b/>
          <w:sz w:val="24"/>
          <w:szCs w:val="24"/>
        </w:rPr>
      </w:pPr>
      <w:r w:rsidRPr="00B46211">
        <w:rPr>
          <w:rFonts w:asciiTheme="minorHAnsi" w:hAnsiTheme="minorHAnsi" w:cs="Courier New"/>
          <w:b/>
          <w:sz w:val="24"/>
          <w:szCs w:val="24"/>
        </w:rPr>
        <w:t>SEC 5.00 Information security: ensures that information security meets organizational goals, regulatory requirements, and established standards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B46211">
      <w:pPr>
        <w:pStyle w:val="PlainText"/>
        <w:numPr>
          <w:ilvl w:val="0"/>
          <w:numId w:val="40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Applies information security concepts, including principles of confidentiality, integrity, and availability (CIA) (C)</w:t>
      </w:r>
    </w:p>
    <w:p w:rsidR="002D5A1B" w:rsidRPr="00B46211" w:rsidRDefault="002D5A1B" w:rsidP="002D5A1B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Default="002D5A1B" w:rsidP="002D5A1B">
      <w:pPr>
        <w:pStyle w:val="PlainText"/>
        <w:numPr>
          <w:ilvl w:val="0"/>
          <w:numId w:val="40"/>
        </w:numPr>
        <w:rPr>
          <w:rFonts w:asciiTheme="minorHAnsi" w:hAnsiTheme="minorHAnsi" w:cs="Courier New"/>
          <w:sz w:val="24"/>
          <w:szCs w:val="24"/>
        </w:rPr>
      </w:pPr>
      <w:r w:rsidRPr="00B46211">
        <w:rPr>
          <w:rFonts w:asciiTheme="minorHAnsi" w:hAnsiTheme="minorHAnsi" w:cs="Courier New"/>
          <w:sz w:val="24"/>
          <w:szCs w:val="24"/>
        </w:rPr>
        <w:t>Identifies risks associated with the laboratory’s sensitive information and technology, including the methods of control (C)</w:t>
      </w:r>
      <w:r w:rsidR="00B46211">
        <w:rPr>
          <w:rFonts w:asciiTheme="minorHAnsi" w:hAnsiTheme="minorHAnsi" w:cs="Courier New"/>
          <w:sz w:val="24"/>
          <w:szCs w:val="24"/>
        </w:rPr>
        <w:t>\</w:t>
      </w:r>
    </w:p>
    <w:p w:rsidR="00B46211" w:rsidRPr="00B46211" w:rsidRDefault="00B46211" w:rsidP="00B46211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2D5A1B" w:rsidRPr="00B46211" w:rsidRDefault="002D5A1B" w:rsidP="002D5A1B">
      <w:pPr>
        <w:rPr>
          <w:sz w:val="24"/>
          <w:szCs w:val="24"/>
        </w:rPr>
      </w:pPr>
      <w:r w:rsidRPr="00B46211">
        <w:rPr>
          <w:b/>
          <w:sz w:val="24"/>
          <w:szCs w:val="24"/>
        </w:rPr>
        <w:t>Minimum Education and Experience Requirements:</w:t>
      </w:r>
    </w:p>
    <w:p w:rsidR="002D5A1B" w:rsidRPr="00B46211" w:rsidRDefault="002D5A1B" w:rsidP="002D5A1B">
      <w:pPr>
        <w:pStyle w:val="ListParagraph"/>
        <w:numPr>
          <w:ilvl w:val="0"/>
          <w:numId w:val="17"/>
        </w:numPr>
        <w:spacing w:line="256" w:lineRule="auto"/>
        <w:rPr>
          <w:i/>
          <w:sz w:val="24"/>
          <w:szCs w:val="24"/>
        </w:rPr>
      </w:pPr>
      <w:r w:rsidRPr="00B46211">
        <w:rPr>
          <w:sz w:val="24"/>
          <w:szCs w:val="24"/>
        </w:rPr>
        <w:t>High school diploma, with emphasis on science</w:t>
      </w:r>
    </w:p>
    <w:p w:rsidR="002D5A1B" w:rsidRPr="00B46211" w:rsidRDefault="002D5A1B" w:rsidP="002D5A1B">
      <w:pPr>
        <w:pStyle w:val="ListParagraph"/>
        <w:numPr>
          <w:ilvl w:val="0"/>
          <w:numId w:val="17"/>
        </w:numPr>
        <w:spacing w:line="256" w:lineRule="auto"/>
        <w:rPr>
          <w:i/>
          <w:sz w:val="24"/>
          <w:szCs w:val="24"/>
        </w:rPr>
      </w:pPr>
      <w:r w:rsidRPr="00B46211">
        <w:rPr>
          <w:sz w:val="24"/>
          <w:szCs w:val="24"/>
        </w:rPr>
        <w:t>College courses in microbiology or related science and/or experience in laboratory practices are desired</w:t>
      </w:r>
    </w:p>
    <w:p w:rsidR="002D5A1B" w:rsidRPr="00B46211" w:rsidRDefault="002D5A1B" w:rsidP="002D5A1B">
      <w:pPr>
        <w:pStyle w:val="ListParagraph"/>
        <w:numPr>
          <w:ilvl w:val="0"/>
          <w:numId w:val="17"/>
        </w:numPr>
        <w:spacing w:line="256" w:lineRule="auto"/>
        <w:rPr>
          <w:i/>
          <w:sz w:val="24"/>
          <w:szCs w:val="24"/>
        </w:rPr>
      </w:pPr>
      <w:r w:rsidRPr="00B46211">
        <w:rPr>
          <w:sz w:val="24"/>
          <w:szCs w:val="24"/>
        </w:rPr>
        <w:t>Preference will be given to applicants with an associate degree or bachelor’s degree in a related science</w:t>
      </w:r>
    </w:p>
    <w:p w:rsidR="00CB564F" w:rsidRPr="00B46211" w:rsidRDefault="00CB564F" w:rsidP="002D5A1B">
      <w:pPr>
        <w:rPr>
          <w:i/>
          <w:sz w:val="24"/>
          <w:szCs w:val="24"/>
        </w:rPr>
      </w:pPr>
    </w:p>
    <w:sectPr w:rsidR="00CB564F" w:rsidRPr="00B46211" w:rsidSect="00A531A2">
      <w:headerReference w:type="default" r:id="rId7"/>
      <w:footerReference w:type="default" r:id="rId8"/>
      <w:pgSz w:w="12240" w:h="15840"/>
      <w:pgMar w:top="1440" w:right="1440" w:bottom="19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515C" w:rsidRDefault="001E515C" w:rsidP="00CB564F">
      <w:pPr>
        <w:spacing w:after="0" w:line="240" w:lineRule="auto"/>
      </w:pPr>
      <w:r>
        <w:separator/>
      </w:r>
    </w:p>
  </w:endnote>
  <w:endnote w:type="continuationSeparator" w:id="0">
    <w:p w:rsidR="001E515C" w:rsidRDefault="001E515C" w:rsidP="00CB56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564F" w:rsidRDefault="00334D05" w:rsidP="00405369">
    <w:r>
      <w:rPr>
        <w:noProof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5F860C40" wp14:editId="3490D0FC">
              <wp:simplePos x="0" y="0"/>
              <wp:positionH relativeFrom="column">
                <wp:posOffset>3483891</wp:posOffset>
              </wp:positionH>
              <wp:positionV relativeFrom="paragraph">
                <wp:posOffset>290210</wp:posOffset>
              </wp:positionV>
              <wp:extent cx="2955290" cy="307975"/>
              <wp:effectExtent l="0" t="0" r="0" b="0"/>
              <wp:wrapSquare wrapText="bothSides"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55290" cy="3079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rPr>
                              <w:color w:val="FFFFFF" w:themeColor="background1"/>
                            </w:rPr>
                            <w:id w:val="-2018992367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/>
                          <w:sdtContent>
                            <w:sdt>
                              <w:sdtPr>
                                <w:rPr>
                                  <w:color w:val="FFFFFF" w:themeColor="background1"/>
                                </w:rPr>
                                <w:id w:val="-1769616900"/>
                                <w:docPartObj>
                                  <w:docPartGallery w:val="Page Numbers (Top of Page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334D05" w:rsidRPr="00FF3621" w:rsidRDefault="00334D05" w:rsidP="00334D05">
                                  <w:pPr>
                                    <w:pStyle w:val="Footer"/>
                                    <w:jc w:val="righ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FF3621">
                                    <w:rPr>
                                      <w:color w:val="FFFFFF" w:themeColor="background1"/>
                                    </w:rPr>
                                    <w:t xml:space="preserve">Page </w:t>
                                  </w:r>
                                  <w:r w:rsidRPr="00FF3621"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FF3621">
                                    <w:rPr>
                                      <w:b/>
                                      <w:bCs/>
                                      <w:color w:val="FFFFFF" w:themeColor="background1"/>
                                    </w:rPr>
                                    <w:instrText xml:space="preserve"> PAGE </w:instrText>
                                  </w:r>
                                  <w:r w:rsidRPr="00FF3621"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A531A2">
                                    <w:rPr>
                                      <w:b/>
                                      <w:bCs/>
                                      <w:noProof/>
                                      <w:color w:val="FFFFFF" w:themeColor="background1"/>
                                    </w:rPr>
                                    <w:t>1</w:t>
                                  </w:r>
                                  <w:r w:rsidRPr="00FF3621"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  <w:r w:rsidRPr="00FF3621">
                                    <w:rPr>
                                      <w:color w:val="FFFFFF" w:themeColor="background1"/>
                                    </w:rPr>
                                    <w:t xml:space="preserve"> of </w:t>
                                  </w:r>
                                  <w:r w:rsidRPr="00FF3621"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FF3621">
                                    <w:rPr>
                                      <w:b/>
                                      <w:bCs/>
                                      <w:color w:val="FFFFFF" w:themeColor="background1"/>
                                    </w:rPr>
                                    <w:instrText xml:space="preserve"> NUMPAGES  </w:instrText>
                                  </w:r>
                                  <w:r w:rsidRPr="00FF3621"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A531A2">
                                    <w:rPr>
                                      <w:b/>
                                      <w:bCs/>
                                      <w:noProof/>
                                      <w:color w:val="FFFFFF" w:themeColor="background1"/>
                                    </w:rPr>
                                    <w:t>8</w:t>
                                  </w:r>
                                  <w:r w:rsidRPr="00FF3621"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sdtContent>
                        </w:sdt>
                        <w:p w:rsidR="00334D05" w:rsidRPr="00405369" w:rsidRDefault="00334D05" w:rsidP="00334D05">
                          <w:pPr>
                            <w:jc w:val="right"/>
                            <w:rPr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860C4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74.3pt;margin-top:22.85pt;width:232.7pt;height:24.2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f0fCgIAAPIDAAAOAAAAZHJzL2Uyb0RvYy54bWysU9uO2yAQfa/Uf0C8N3bcuNlYIavtbreq&#10;tL1Iu/0AgnGMCgwFEjv9+g44m43at6o8IGBmzsw5M6yvR6PJQfqgwDI6n5WUSCugVXbH6Pen+zdX&#10;lITIbcs1WMnoUQZ6vXn9aj24RlbQg26lJwhiQzM4RvsYXVMUQfTS8DADJy0aO/CGR7z6XdF6PiC6&#10;0UVVlu+KAXzrPAgZAr7eTUa6yfhdJ0X82nVBRqIZxdpi3n3et2kvNmve7Dx3vRKnMvg/VGG4spj0&#10;DHXHIyd7r/6CMkp4CNDFmQBTQNcpITMHZDMv/2Dz2HMnMxcUJ7izTOH/wYovh2+eqJbRmhLLDbbo&#10;SY6RvIeRVEmdwYUGnR4dusURn7HLmWlwDyB+BGLhtud2J2+8h6GXvMXq5imyuAidcEIC2Q6focU0&#10;fB8hA42dN0k6FIMgOnbpeO5MKkXgY7Wq62qFJoG2t+VytaxzCt48Rzsf4kcJhqQDox47n9H54SHE&#10;VA1vnl1SMgv3SuvcfW3JwOiqruoccGExKuJwamUYvSrTmsYlkfxg2xwcudLTGRNoe2KdiE6U47gd&#10;0TFJsYX2iPw9TEOInwYPPfhflAw4gIyGn3vuJSX6k0UNV/PFIk1svizqZYUXf2nZXlq4FQjFaKRk&#10;Ot7GPOUT1xvUulNZhpdKTrXiYGV1Tp8gTe7lPXu9fNXNbwAAAP//AwBQSwMEFAAGAAgAAAAhAKMr&#10;+JfeAAAACgEAAA8AAABkcnMvZG93bnJldi54bWxMj8tOwzAQRfdI/IM1SOyo3copbcikQiC2VJSH&#10;xM6Np0lEPI5itwl/X3cFy9Ec3XtusZlcJ040hNYzwnymQBBX3rZcI3y8v9ytQIRo2JrOMyH8UoBN&#10;eX1VmNz6kd/otIu1SCEccoPQxNjnUoaqIWfCzPfE6XfwgzMxnUMt7WDGFO46uVBqKZ1pOTU0pqen&#10;hqqf3dEhfL4evr+02tbPLutHPynJbi0Rb2+mxwcQkab4B8NFP6lDmZz2/sg2iA4h06tlQhF0dg/i&#10;Aqi5Tuv2CGu9AFkW8v+E8gwAAP//AwBQSwECLQAUAAYACAAAACEAtoM4kv4AAADhAQAAEwAAAAAA&#10;AAAAAAAAAAAAAAAAW0NvbnRlbnRfVHlwZXNdLnhtbFBLAQItABQABgAIAAAAIQA4/SH/1gAAAJQB&#10;AAALAAAAAAAAAAAAAAAAAC8BAABfcmVscy8ucmVsc1BLAQItABQABgAIAAAAIQCyaf0fCgIAAPID&#10;AAAOAAAAAAAAAAAAAAAAAC4CAABkcnMvZTJvRG9jLnhtbFBLAQItABQABgAIAAAAIQCjK/iX3gAA&#10;AAoBAAAPAAAAAAAAAAAAAAAAAGQEAABkcnMvZG93bnJldi54bWxQSwUGAAAAAAQABADzAAAAbwUA&#10;AAAA&#10;" filled="f" stroked="f">
              <v:textbox>
                <w:txbxContent>
                  <w:sdt>
                    <w:sdtPr>
                      <w:rPr>
                        <w:color w:val="FFFFFF" w:themeColor="background1"/>
                      </w:rPr>
                      <w:id w:val="-2018992367"/>
                      <w:docPartObj>
                        <w:docPartGallery w:val="Page Numbers (Bottom of Page)"/>
                        <w:docPartUnique/>
                      </w:docPartObj>
                    </w:sdtPr>
                    <w:sdtEndPr/>
                    <w:sdtContent>
                      <w:sdt>
                        <w:sdtPr>
                          <w:rPr>
                            <w:color w:val="FFFFFF" w:themeColor="background1"/>
                          </w:rPr>
                          <w:id w:val="-1769616900"/>
                          <w:docPartObj>
                            <w:docPartGallery w:val="Page Numbers (Top of Page)"/>
                            <w:docPartUnique/>
                          </w:docPartObj>
                        </w:sdtPr>
                        <w:sdtEndPr/>
                        <w:sdtContent>
                          <w:p w:rsidR="00334D05" w:rsidRPr="00FF3621" w:rsidRDefault="00334D05" w:rsidP="00334D05">
                            <w:pPr>
                              <w:pStyle w:val="Footer"/>
                              <w:jc w:val="right"/>
                              <w:rPr>
                                <w:color w:val="FFFFFF" w:themeColor="background1"/>
                              </w:rPr>
                            </w:pPr>
                            <w:r w:rsidRPr="00FF3621">
                              <w:rPr>
                                <w:color w:val="FFFFFF" w:themeColor="background1"/>
                              </w:rPr>
                              <w:t xml:space="preserve">Page </w:t>
                            </w:r>
                            <w:r w:rsidRPr="00FF3621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FF3621">
                              <w:rPr>
                                <w:b/>
                                <w:bCs/>
                                <w:color w:val="FFFFFF" w:themeColor="background1"/>
                              </w:rPr>
                              <w:instrText xml:space="preserve"> PAGE </w:instrText>
                            </w:r>
                            <w:r w:rsidRPr="00FF3621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A531A2">
                              <w:rPr>
                                <w:b/>
                                <w:bCs/>
                                <w:noProof/>
                                <w:color w:val="FFFFFF" w:themeColor="background1"/>
                              </w:rPr>
                              <w:t>1</w:t>
                            </w:r>
                            <w:r w:rsidRPr="00FF3621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end"/>
                            </w:r>
                            <w:r w:rsidRPr="00FF3621">
                              <w:rPr>
                                <w:color w:val="FFFFFF" w:themeColor="background1"/>
                              </w:rPr>
                              <w:t xml:space="preserve"> of </w:t>
                            </w:r>
                            <w:r w:rsidRPr="00FF3621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FF3621">
                              <w:rPr>
                                <w:b/>
                                <w:bCs/>
                                <w:color w:val="FFFFFF" w:themeColor="background1"/>
                              </w:rPr>
                              <w:instrText xml:space="preserve"> NUMPAGES  </w:instrText>
                            </w:r>
                            <w:r w:rsidRPr="00FF3621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A531A2">
                              <w:rPr>
                                <w:b/>
                                <w:bCs/>
                                <w:noProof/>
                                <w:color w:val="FFFFFF" w:themeColor="background1"/>
                              </w:rPr>
                              <w:t>8</w:t>
                            </w:r>
                            <w:r w:rsidRPr="00FF3621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  <w:p w:rsidR="00334D05" w:rsidRPr="00405369" w:rsidRDefault="00334D05" w:rsidP="00334D05">
                    <w:pPr>
                      <w:jc w:val="right"/>
                      <w:rPr>
                        <w:color w:val="FFFFFF" w:themeColor="background1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405369">
      <w:rPr>
        <w:noProof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2D54E4A4" wp14:editId="2CD43CC6">
              <wp:simplePos x="0" y="0"/>
              <wp:positionH relativeFrom="column">
                <wp:posOffset>3497580</wp:posOffset>
              </wp:positionH>
              <wp:positionV relativeFrom="paragraph">
                <wp:posOffset>-169383</wp:posOffset>
              </wp:positionV>
              <wp:extent cx="2955290" cy="653415"/>
              <wp:effectExtent l="0" t="0" r="0" b="0"/>
              <wp:wrapSquare wrapText="bothSides"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55290" cy="65341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05369" w:rsidRPr="00405369" w:rsidRDefault="00405369" w:rsidP="00405369">
                          <w:pPr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color w:val="FFFFFF" w:themeColor="background1"/>
                            </w:rPr>
                            <w:t>rev. 05/16/2017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D54E4A4" id="_x0000_s1027" type="#_x0000_t202" style="position:absolute;margin-left:275.4pt;margin-top:-13.35pt;width:232.7pt;height:51.4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+jeDAIAAPkDAAAOAAAAZHJzL2Uyb0RvYy54bWysU9tuGyEQfa/Uf0C817veeNN4ZRylSVNV&#10;Si9S0g/ALOtFBYYC9q779RlYx7Hat6o8IIZhzsw5M6yuR6PJXvqgwDI6n5WUSCugVXbL6I+n+3dX&#10;lITIbcs1WMnoQQZ6vX77ZjW4RlbQg26lJwhiQzM4RvsYXVMUQfTS8DADJy06O/CGRzT9tmg9HxDd&#10;6KIqy8tiAN86D0KGgLd3k5OuM37XSRG/dV2QkWhGsbaYd5/3TdqL9Yo3W89dr8SxDP4PVRiuLCY9&#10;Qd3xyMnOq7+gjBIeAnRxJsAU0HVKyMwB2czLP9g89tzJzAXFCe4kU/h/sOLr/rsnqmX0ghLLDbbo&#10;SY6RfICRVEmdwYUGHz06fBZHvMYuZ6bBPYD4GYiF257brbzxHoZe8harm6fI4ix0wgkJZDN8gRbT&#10;8F2EDDR23iTpUAyC6Nilw6kzqRSBl9WyrqslugT6LuuLxbzOKXjzEu18iJ8kGJIOjHrsfEbn+4cQ&#10;UzW8eXmSklm4V1rn7mtLBkaXdVXngDOPURGHUyvD6FWZ1jQuieRH2+bgyJWezphA2yPrRHSiHMfN&#10;mOXNkiRFNtAeUAYP0yzi38FDD/43JQPOIaPh1457SYn+bFHK5XyxSIObjUX9vkLDn3s25x5uBUIx&#10;GimZjrcxD/tE+QYl71RW47WSY8k4X1mk419IA3xu51evP3b9DAAA//8DAFBLAwQUAAYACAAAACEA&#10;rwutud8AAAALAQAADwAAAGRycy9kb3ducmV2LnhtbEyPzU7DMBCE70h9B2uRuLV2I5JCyKaqQFyp&#10;KD8SNzfeJhHxOordJrw97qk9rUY7mvmmWE+2EycafOsYYblQIIgrZ1quET4/XucPIHzQbHTnmBD+&#10;yMO6nN0UOjdu5Hc67UItYgj7XCM0IfS5lL5qyGq/cD1x/B3cYHWIcqilGfQYw20nE6UyaXXLsaHR&#10;PT03VP3ujhbh6+3w832vtvWLTfvRTUqyfZSId7fT5glEoClczHDGj+hQRqa9O7LxokNIUxXRA8I8&#10;yVYgzg61zBIQe4RVvLIs5PWG8h8AAP//AwBQSwECLQAUAAYACAAAACEAtoM4kv4AAADhAQAAEwAA&#10;AAAAAAAAAAAAAAAAAAAAW0NvbnRlbnRfVHlwZXNdLnhtbFBLAQItABQABgAIAAAAIQA4/SH/1gAA&#10;AJQBAAALAAAAAAAAAAAAAAAAAC8BAABfcmVscy8ucmVsc1BLAQItABQABgAIAAAAIQAPM+jeDAIA&#10;APkDAAAOAAAAAAAAAAAAAAAAAC4CAABkcnMvZTJvRG9jLnhtbFBLAQItABQABgAIAAAAIQCvC625&#10;3wAAAAsBAAAPAAAAAAAAAAAAAAAAAGYEAABkcnMvZG93bnJldi54bWxQSwUGAAAAAAQABADzAAAA&#10;cgUAAAAA&#10;" filled="f" stroked="f">
              <v:textbox>
                <w:txbxContent>
                  <w:p w:rsidR="00405369" w:rsidRPr="00405369" w:rsidRDefault="00405369" w:rsidP="00405369">
                    <w:pPr>
                      <w:jc w:val="right"/>
                      <w:rPr>
                        <w:color w:val="FFFFFF" w:themeColor="background1"/>
                      </w:rPr>
                    </w:pPr>
                    <w:r>
                      <w:rPr>
                        <w:color w:val="FFFFFF" w:themeColor="background1"/>
                      </w:rPr>
                      <w:t>rev. 05/16/2017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405369"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3AE95DCA" wp14:editId="25BFEED1">
              <wp:simplePos x="0" y="0"/>
              <wp:positionH relativeFrom="column">
                <wp:posOffset>-606425</wp:posOffset>
              </wp:positionH>
              <wp:positionV relativeFrom="paragraph">
                <wp:posOffset>-169072</wp:posOffset>
              </wp:positionV>
              <wp:extent cx="2955290" cy="717550"/>
              <wp:effectExtent l="0" t="0" r="0" b="635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55290" cy="7175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05369" w:rsidRPr="00405369" w:rsidRDefault="00405369" w:rsidP="00405369">
                          <w:pPr>
                            <w:pStyle w:val="BasicParagraph"/>
                            <w:suppressAutoHyphens/>
                            <w:rPr>
                              <w:rFonts w:ascii="Franklin Gothic Medium" w:hAnsi="Franklin Gothic Medium" w:cs="Franklin Gothic Medium"/>
                              <w:color w:val="FFFFFF" w:themeColor="background1"/>
                              <w:sz w:val="18"/>
                              <w:szCs w:val="18"/>
                              <w14:textOutline w14:w="952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405369">
                            <w:rPr>
                              <w:rFonts w:ascii="Franklin Gothic Medium" w:hAnsi="Franklin Gothic Medium" w:cs="Franklin Gothic Medium"/>
                              <w:color w:val="FFFFFF" w:themeColor="background1"/>
                              <w:sz w:val="20"/>
                              <w:szCs w:val="20"/>
                              <w14:textOutline w14:w="952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Association of Public Health Laboratories</w:t>
                          </w:r>
                        </w:p>
                        <w:p w:rsidR="00405369" w:rsidRPr="00405369" w:rsidRDefault="00405369" w:rsidP="00405369">
                          <w:pPr>
                            <w:pStyle w:val="BasicParagraph"/>
                            <w:suppressAutoHyphens/>
                            <w:rPr>
                              <w:rFonts w:ascii="Franklin Gothic Book" w:hAnsi="Franklin Gothic Book" w:cs="Franklin Gothic Book"/>
                              <w:color w:val="FFFFFF" w:themeColor="background1"/>
                              <w:sz w:val="18"/>
                              <w:szCs w:val="18"/>
                              <w14:textOutline w14:w="952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405369">
                            <w:rPr>
                              <w:rFonts w:ascii="Franklin Gothic Book" w:hAnsi="Franklin Gothic Book" w:cs="Franklin Gothic Book"/>
                              <w:color w:val="FFFFFF" w:themeColor="background1"/>
                              <w:sz w:val="18"/>
                              <w:szCs w:val="18"/>
                              <w14:textOutline w14:w="952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8515 Georgia Ave, Suite 700 • Silver Spring, MD 20910</w:t>
                          </w:r>
                        </w:p>
                        <w:p w:rsidR="00405369" w:rsidRPr="00405369" w:rsidRDefault="00405369" w:rsidP="00405369">
                          <w:pPr>
                            <w:rPr>
                              <w:color w:val="FFFFFF" w:themeColor="background1"/>
                            </w:rPr>
                          </w:pPr>
                          <w:r w:rsidRPr="00405369">
                            <w:rPr>
                              <w:rFonts w:ascii="Franklin Gothic Book" w:hAnsi="Franklin Gothic Book" w:cs="Franklin Gothic Book"/>
                              <w:color w:val="FFFFFF" w:themeColor="background1"/>
                              <w:sz w:val="18"/>
                              <w:szCs w:val="18"/>
                              <w14:textOutline w14:w="952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PHLcompetencies@aphl.org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AE95DCA" id="_x0000_s1028" type="#_x0000_t202" style="position:absolute;margin-left:-47.75pt;margin-top:-13.3pt;width:232.7pt;height:56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9jYDQIAAPsDAAAOAAAAZHJzL2Uyb0RvYy54bWysU9uO2yAQfa/Uf0C8N46tuNlYIavtbreq&#10;tL1Iu/0AgnGMCgwFEjv9+g44SaP2rSoPaGBmDnPODOvb0WhykD4osIyWszkl0gpold0x+u3l8c0N&#10;JSFy23INVjJ6lIHebl6/Wg+ukRX0oFvpCYLY0AyO0T5G1xRFEL00PMzASYvODrzhEY9+V7SeD4hu&#10;dFHN52+LAXzrPAgZAt4+TE66yfhdJ0X80nVBRqIZxdpi3n3et2kvNmve7Dx3vRKnMvg/VGG4svjo&#10;BeqBR072Xv0FZZTwEKCLMwGmgK5TQmYOyKac/8HmuedOZi4oTnAXmcL/gxWfD189US2jVbmkxHKD&#10;TXqRYyTvYCRV0mdwocGwZ4eBccRr7HPmGtwTiO+BWLjvud3JO+9h6CVvsb4yZRZXqRNOSCDb4RO0&#10;+AzfR8hAY+dNEg/lIIiOfTpeepNKEXhZreq6WqFLoG9ZLus6N6/gzTnb+RA/SDAkGYx67H1G54en&#10;EFM1vDmHpMcsPCqtc/+1JQOjq7qqc8KVx6iI46mVYfRmntY0MInke9vm5MiVnmx8QNsT60R0ohzH&#10;7TgJfBZzC+0RZfAwTSP+HjR68D8pGXASGQ0/9txLSvRHi1KuysUijW4+LOplhQd/7dlee7gVCMVo&#10;pGQy72Me94nyHUreqaxG6s1UyalknLAs0uk3pBG+Pueo33928wsAAP//AwBQSwMEFAAGAAgAAAAh&#10;APoECcHfAAAACgEAAA8AAABkcnMvZG93bnJldi54bWxMj01PwzAMhu9I/IfISNy2hLFGa2k6IRBX&#10;EOND4pY1XlvROFWTreXfY07sZsuPXj9vuZ19L044xi6QgZulAoFUB9dRY+D97WmxARGTJWf7QGjg&#10;ByNsq8uL0hYuTPSKp11qBIdQLKyBNqWhkDLWLXobl2FA4tshjN4mXsdGutFOHO57uVJKS2874g+t&#10;HfChxfp7d/QGPp4PX59r9dI8+myYwqwk+Vwac30139+BSDinfxj+9FkdKnbahyO5KHoDizzLGOVh&#10;pTUIJm51noPYG9joNciqlOcVql8AAAD//wMAUEsBAi0AFAAGAAgAAAAhALaDOJL+AAAA4QEAABMA&#10;AAAAAAAAAAAAAAAAAAAAAFtDb250ZW50X1R5cGVzXS54bWxQSwECLQAUAAYACAAAACEAOP0h/9YA&#10;AACUAQAACwAAAAAAAAAAAAAAAAAvAQAAX3JlbHMvLnJlbHNQSwECLQAUAAYACAAAACEA2RvY2A0C&#10;AAD7AwAADgAAAAAAAAAAAAAAAAAuAgAAZHJzL2Uyb0RvYy54bWxQSwECLQAUAAYACAAAACEA+gQJ&#10;wd8AAAAKAQAADwAAAAAAAAAAAAAAAABnBAAAZHJzL2Rvd25yZXYueG1sUEsFBgAAAAAEAAQA8wAA&#10;AHMFAAAAAA==&#10;" filled="f" stroked="f">
              <v:textbox>
                <w:txbxContent>
                  <w:p w:rsidR="00405369" w:rsidRPr="00405369" w:rsidRDefault="00405369" w:rsidP="00405369">
                    <w:pPr>
                      <w:pStyle w:val="BasicParagraph"/>
                      <w:suppressAutoHyphens/>
                      <w:rPr>
                        <w:rFonts w:ascii="Franklin Gothic Medium" w:hAnsi="Franklin Gothic Medium" w:cs="Franklin Gothic Medium"/>
                        <w:color w:val="FFFFFF" w:themeColor="background1"/>
                        <w:sz w:val="18"/>
                        <w:szCs w:val="18"/>
                        <w14:textOutline w14:w="9525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 w:rsidRPr="00405369">
                      <w:rPr>
                        <w:rFonts w:ascii="Franklin Gothic Medium" w:hAnsi="Franklin Gothic Medium" w:cs="Franklin Gothic Medium"/>
                        <w:color w:val="FFFFFF" w:themeColor="background1"/>
                        <w:sz w:val="20"/>
                        <w:szCs w:val="20"/>
                        <w14:textOutline w14:w="9525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Association of Public Health Laboratories</w:t>
                    </w:r>
                  </w:p>
                  <w:p w:rsidR="00405369" w:rsidRPr="00405369" w:rsidRDefault="00405369" w:rsidP="00405369">
                    <w:pPr>
                      <w:pStyle w:val="BasicParagraph"/>
                      <w:suppressAutoHyphens/>
                      <w:rPr>
                        <w:rFonts w:ascii="Franklin Gothic Book" w:hAnsi="Franklin Gothic Book" w:cs="Franklin Gothic Book"/>
                        <w:color w:val="FFFFFF" w:themeColor="background1"/>
                        <w:sz w:val="18"/>
                        <w:szCs w:val="18"/>
                        <w14:textOutline w14:w="9525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 w:rsidRPr="00405369">
                      <w:rPr>
                        <w:rFonts w:ascii="Franklin Gothic Book" w:hAnsi="Franklin Gothic Book" w:cs="Franklin Gothic Book"/>
                        <w:color w:val="FFFFFF" w:themeColor="background1"/>
                        <w:sz w:val="18"/>
                        <w:szCs w:val="18"/>
                        <w14:textOutline w14:w="9525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8515 Georgia Ave, Suite 700 • Silver Spring, MD 20910</w:t>
                    </w:r>
                  </w:p>
                  <w:p w:rsidR="00405369" w:rsidRPr="00405369" w:rsidRDefault="00405369" w:rsidP="00405369">
                    <w:pPr>
                      <w:rPr>
                        <w:color w:val="FFFFFF" w:themeColor="background1"/>
                      </w:rPr>
                    </w:pPr>
                    <w:r w:rsidRPr="00405369">
                      <w:rPr>
                        <w:rFonts w:ascii="Franklin Gothic Book" w:hAnsi="Franklin Gothic Book" w:cs="Franklin Gothic Book"/>
                        <w:color w:val="FFFFFF" w:themeColor="background1"/>
                        <w:sz w:val="18"/>
                        <w:szCs w:val="18"/>
                        <w14:textOutline w14:w="9525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PHLcompetencies@aphl.org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405369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F3998FF" wp14:editId="6FAF5D01">
              <wp:simplePos x="0" y="0"/>
              <wp:positionH relativeFrom="column">
                <wp:posOffset>-903767</wp:posOffset>
              </wp:positionH>
              <wp:positionV relativeFrom="paragraph">
                <wp:posOffset>-394734</wp:posOffset>
              </wp:positionV>
              <wp:extent cx="7984490" cy="1848884"/>
              <wp:effectExtent l="0" t="0" r="0" b="0"/>
              <wp:wrapNone/>
              <wp:docPr id="2" name="Flowchart: Process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984490" cy="1848884"/>
                      </a:xfrm>
                      <a:prstGeom prst="flowChartProcess">
                        <a:avLst/>
                      </a:prstGeom>
                      <a:solidFill>
                        <a:srgbClr val="00A0AF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767443" id="_x0000_t109" coordsize="21600,21600" o:spt="109" path="m,l,21600r21600,l21600,xe">
              <v:stroke joinstyle="miter"/>
              <v:path gradientshapeok="t" o:connecttype="rect"/>
            </v:shapetype>
            <v:shape id="Flowchart: Process 2" o:spid="_x0000_s1026" type="#_x0000_t109" style="position:absolute;margin-left:-71.15pt;margin-top:-31.1pt;width:628.7pt;height:145.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53TnwIAAJsFAAAOAAAAZHJzL2Uyb0RvYy54bWysVE1v2zAMvQ/YfxB0X+0E7poYdYogRYYB&#10;RRusHXpWZCk2IEuapHzt14+UbLfrih2G5aCIJvlIPpG8vjl1ihyE863RFZ1c5JQIzU3d6l1Fvz+t&#10;P80o8YHpmimjRUXPwtObxccP10dbiqlpjKqFIwCifXm0FW1CsGWWed6IjvkLY4UGpTSuYwFEt8tq&#10;x46A3qlsmuefs6NxtXWGC+/h621S0kXEl1Lw8CClF4GoikJuIZ4unls8s8U1K3eO2ablfRrsH7Lo&#10;WKsh6Ah1ywIje9f+AdW13BlvZLjgpsuMlC0XsQaoZpK/qeaxYVbEWoAcb0ea/P+D5feHjSNtXdEp&#10;JZp18ERrZY68YS6UZJOIJVPk6Wh9CeaPduN6ycMViz5J1+E/lENOkdvzyK04BcLh49V8VhRzeAIO&#10;usmsmM1mBaJmL+7W+fBFmI7gpaIS8lhhHn0WkV92uPMhuQ3mGNkb1dbrVqkouN12pRw5MHz0fJkv&#10;132k38yURmNt0C0h4pcMy0yFxVs4K4F2Sn8TEoiCUqYxk9iiYozDOBc6TJKqYbVI4S9z+A3RsanR&#10;I1YdARFZQvwRuwcYLBPIgJ2y7O3RVcQOH53zvyWWnEePGNnoMDp3rTbuPQAFVfWRk/1AUqIGWdqa&#10;+gxt5EyaL2/5uoU3vGM+bJiDgYJ3hyURHuDAZ62o6W+UNMb9fO872kOfg5aSIwxoRf2PPXOCEvVV&#10;wwTMJ0WBEx2F4vJqCoJ7rdm+1uh9tzLQDhNYR5bHK9oHNVylM90z7JIlRgUV0xxiV5QHNwirkBYH&#10;bCMulstoBlNsWbjTj5YjOLKKffl0embO9o0cYAbuzTDMrHzTw8kWPbVZ7oORbWzwF157vmEDxMbp&#10;txWumNdytHrZqYtfAAAA//8DAFBLAwQUAAYACAAAACEAzCf3MuEAAAANAQAADwAAAGRycy9kb3du&#10;cmV2LnhtbEyPTUsDMRCG74L/IYzgrc1Hteh2s0UEBS+CtQeP2STNLk0m6yZtt//e9GRvM8zDO89b&#10;r6fgydGOqY8ogc8ZEIs6mh6dhO332+wJSMoKjfIRrYSzTbBubm9qVZl4wi973GRHSgimSknoch4q&#10;SpPubFBpHgeL5baLY1C5rKOjZlSnEh48FYwtaVA9lg+dGuxrZ/V+cwgS3IfQW+UxL/b6s/19/zm7&#10;wHop7++mlxWQbKf8D8NFv6hDU5zaeECTiJcw4w9iUdgyLYUAckE4f+RAWglCPDOgTU2vWzR/AAAA&#10;//8DAFBLAQItABQABgAIAAAAIQC2gziS/gAAAOEBAAATAAAAAAAAAAAAAAAAAAAAAABbQ29udGVu&#10;dF9UeXBlc10ueG1sUEsBAi0AFAAGAAgAAAAhADj9If/WAAAAlAEAAAsAAAAAAAAAAAAAAAAALwEA&#10;AF9yZWxzLy5yZWxzUEsBAi0AFAAGAAgAAAAhACKvndOfAgAAmwUAAA4AAAAAAAAAAAAAAAAALgIA&#10;AGRycy9lMm9Eb2MueG1sUEsBAi0AFAAGAAgAAAAhAMwn9zLhAAAADQEAAA8AAAAAAAAAAAAAAAAA&#10;+QQAAGRycy9kb3ducmV2LnhtbFBLBQYAAAAABAAEAPMAAAAHBgAAAAA=&#10;" fillcolor="#00a0af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515C" w:rsidRDefault="001E515C" w:rsidP="00CB564F">
      <w:pPr>
        <w:spacing w:after="0" w:line="240" w:lineRule="auto"/>
      </w:pPr>
      <w:r>
        <w:separator/>
      </w:r>
    </w:p>
  </w:footnote>
  <w:footnote w:type="continuationSeparator" w:id="0">
    <w:p w:rsidR="001E515C" w:rsidRDefault="001E515C" w:rsidP="00CB56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6BC2" w:rsidRDefault="00946BC2">
    <w:pPr>
      <w:pStyle w:val="Header"/>
    </w:pPr>
    <w:r>
      <w:rPr>
        <w:b/>
        <w:noProof/>
        <w:sz w:val="24"/>
      </w:rPr>
      <w:drawing>
        <wp:anchor distT="0" distB="0" distL="114300" distR="114300" simplePos="0" relativeHeight="251665408" behindDoc="0" locked="0" layoutInCell="1" allowOverlap="1" wp14:anchorId="2988B7C1" wp14:editId="7CFE3796">
          <wp:simplePos x="0" y="0"/>
          <wp:positionH relativeFrom="column">
            <wp:posOffset>5029200</wp:posOffset>
          </wp:positionH>
          <wp:positionV relativeFrom="paragraph">
            <wp:posOffset>-144086</wp:posOffset>
          </wp:positionV>
          <wp:extent cx="1401445" cy="601345"/>
          <wp:effectExtent l="0" t="0" r="8255" b="8255"/>
          <wp:wrapSquare wrapText="bothSides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APHL_name_PMS_2C_hi-re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1445" cy="6013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17712"/>
    <w:multiLevelType w:val="hybridMultilevel"/>
    <w:tmpl w:val="78E67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7512B"/>
    <w:multiLevelType w:val="hybridMultilevel"/>
    <w:tmpl w:val="53F41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765C6"/>
    <w:multiLevelType w:val="hybridMultilevel"/>
    <w:tmpl w:val="A52C3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B46FDE"/>
    <w:multiLevelType w:val="hybridMultilevel"/>
    <w:tmpl w:val="E6969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B15727"/>
    <w:multiLevelType w:val="hybridMultilevel"/>
    <w:tmpl w:val="FA3EBCE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2C4842"/>
    <w:multiLevelType w:val="hybridMultilevel"/>
    <w:tmpl w:val="A428F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172B4F"/>
    <w:multiLevelType w:val="hybridMultilevel"/>
    <w:tmpl w:val="7B48E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FD0E53"/>
    <w:multiLevelType w:val="hybridMultilevel"/>
    <w:tmpl w:val="4C301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064D11"/>
    <w:multiLevelType w:val="hybridMultilevel"/>
    <w:tmpl w:val="88F24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8C2E1F"/>
    <w:multiLevelType w:val="hybridMultilevel"/>
    <w:tmpl w:val="264ED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3D4713"/>
    <w:multiLevelType w:val="hybridMultilevel"/>
    <w:tmpl w:val="FA1A4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7E17A2"/>
    <w:multiLevelType w:val="hybridMultilevel"/>
    <w:tmpl w:val="A4444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676CF0"/>
    <w:multiLevelType w:val="hybridMultilevel"/>
    <w:tmpl w:val="F1644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BA41EA"/>
    <w:multiLevelType w:val="hybridMultilevel"/>
    <w:tmpl w:val="A39C2576"/>
    <w:lvl w:ilvl="0" w:tplc="6DB055FE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BDA14FB"/>
    <w:multiLevelType w:val="hybridMultilevel"/>
    <w:tmpl w:val="AAAC2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81512A"/>
    <w:multiLevelType w:val="hybridMultilevel"/>
    <w:tmpl w:val="69766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0462A0"/>
    <w:multiLevelType w:val="hybridMultilevel"/>
    <w:tmpl w:val="9DFAE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535E09"/>
    <w:multiLevelType w:val="hybridMultilevel"/>
    <w:tmpl w:val="8126F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841F72"/>
    <w:multiLevelType w:val="hybridMultilevel"/>
    <w:tmpl w:val="1930A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36D2D"/>
    <w:multiLevelType w:val="hybridMultilevel"/>
    <w:tmpl w:val="63B0F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0211EE"/>
    <w:multiLevelType w:val="hybridMultilevel"/>
    <w:tmpl w:val="23480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6D1461"/>
    <w:multiLevelType w:val="hybridMultilevel"/>
    <w:tmpl w:val="3D78A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863ADA"/>
    <w:multiLevelType w:val="hybridMultilevel"/>
    <w:tmpl w:val="E7E85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7711F5"/>
    <w:multiLevelType w:val="hybridMultilevel"/>
    <w:tmpl w:val="485EB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F83286"/>
    <w:multiLevelType w:val="hybridMultilevel"/>
    <w:tmpl w:val="E8E2C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785B65"/>
    <w:multiLevelType w:val="hybridMultilevel"/>
    <w:tmpl w:val="81623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973F68"/>
    <w:multiLevelType w:val="hybridMultilevel"/>
    <w:tmpl w:val="843C6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9F637D"/>
    <w:multiLevelType w:val="hybridMultilevel"/>
    <w:tmpl w:val="0DF4C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605FA5"/>
    <w:multiLevelType w:val="hybridMultilevel"/>
    <w:tmpl w:val="343E8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D264CD"/>
    <w:multiLevelType w:val="hybridMultilevel"/>
    <w:tmpl w:val="D160E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D9373E"/>
    <w:multiLevelType w:val="hybridMultilevel"/>
    <w:tmpl w:val="167E1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121738"/>
    <w:multiLevelType w:val="hybridMultilevel"/>
    <w:tmpl w:val="E8DE5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9046E"/>
    <w:multiLevelType w:val="hybridMultilevel"/>
    <w:tmpl w:val="39DAA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5E457C"/>
    <w:multiLevelType w:val="hybridMultilevel"/>
    <w:tmpl w:val="DA9C1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E1626C"/>
    <w:multiLevelType w:val="hybridMultilevel"/>
    <w:tmpl w:val="4E489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F41020"/>
    <w:multiLevelType w:val="hybridMultilevel"/>
    <w:tmpl w:val="94840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22"/>
  </w:num>
  <w:num w:numId="4">
    <w:abstractNumId w:val="13"/>
  </w:num>
  <w:num w:numId="5">
    <w:abstractNumId w:val="21"/>
  </w:num>
  <w:num w:numId="6">
    <w:abstractNumId w:val="22"/>
  </w:num>
  <w:num w:numId="7">
    <w:abstractNumId w:val="16"/>
  </w:num>
  <w:num w:numId="8">
    <w:abstractNumId w:val="32"/>
  </w:num>
  <w:num w:numId="9">
    <w:abstractNumId w:val="11"/>
  </w:num>
  <w:num w:numId="10">
    <w:abstractNumId w:val="30"/>
  </w:num>
  <w:num w:numId="11">
    <w:abstractNumId w:val="7"/>
  </w:num>
  <w:num w:numId="12">
    <w:abstractNumId w:val="31"/>
  </w:num>
  <w:num w:numId="13">
    <w:abstractNumId w:val="1"/>
  </w:num>
  <w:num w:numId="14">
    <w:abstractNumId w:val="0"/>
  </w:num>
  <w:num w:numId="15">
    <w:abstractNumId w:val="24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0"/>
  </w:num>
  <w:num w:numId="19">
    <w:abstractNumId w:val="4"/>
  </w:num>
  <w:num w:numId="20">
    <w:abstractNumId w:val="34"/>
  </w:num>
  <w:num w:numId="21">
    <w:abstractNumId w:val="17"/>
  </w:num>
  <w:num w:numId="22">
    <w:abstractNumId w:val="26"/>
  </w:num>
  <w:num w:numId="23">
    <w:abstractNumId w:val="15"/>
  </w:num>
  <w:num w:numId="24">
    <w:abstractNumId w:val="29"/>
  </w:num>
  <w:num w:numId="25">
    <w:abstractNumId w:val="18"/>
  </w:num>
  <w:num w:numId="26">
    <w:abstractNumId w:val="35"/>
  </w:num>
  <w:num w:numId="27">
    <w:abstractNumId w:val="5"/>
  </w:num>
  <w:num w:numId="28">
    <w:abstractNumId w:val="14"/>
  </w:num>
  <w:num w:numId="29">
    <w:abstractNumId w:val="9"/>
  </w:num>
  <w:num w:numId="30">
    <w:abstractNumId w:val="6"/>
  </w:num>
  <w:num w:numId="31">
    <w:abstractNumId w:val="19"/>
  </w:num>
  <w:num w:numId="32">
    <w:abstractNumId w:val="23"/>
  </w:num>
  <w:num w:numId="33">
    <w:abstractNumId w:val="25"/>
  </w:num>
  <w:num w:numId="34">
    <w:abstractNumId w:val="33"/>
  </w:num>
  <w:num w:numId="35">
    <w:abstractNumId w:val="2"/>
  </w:num>
  <w:num w:numId="36">
    <w:abstractNumId w:val="10"/>
  </w:num>
  <w:num w:numId="37">
    <w:abstractNumId w:val="27"/>
  </w:num>
  <w:num w:numId="38">
    <w:abstractNumId w:val="12"/>
  </w:num>
  <w:num w:numId="39">
    <w:abstractNumId w:val="28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64F"/>
    <w:rsid w:val="00002BCE"/>
    <w:rsid w:val="001E515C"/>
    <w:rsid w:val="002D5A1B"/>
    <w:rsid w:val="00334D05"/>
    <w:rsid w:val="003F3308"/>
    <w:rsid w:val="00405369"/>
    <w:rsid w:val="00411465"/>
    <w:rsid w:val="004D43BB"/>
    <w:rsid w:val="00786E80"/>
    <w:rsid w:val="00920EE1"/>
    <w:rsid w:val="00946BC2"/>
    <w:rsid w:val="00A531A2"/>
    <w:rsid w:val="00B46211"/>
    <w:rsid w:val="00CB564F"/>
    <w:rsid w:val="00DC28DB"/>
    <w:rsid w:val="00F22559"/>
    <w:rsid w:val="00FB1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E3770EEA-0884-4286-8E39-CD929C295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C28D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564F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CB56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B564F"/>
  </w:style>
  <w:style w:type="paragraph" w:styleId="Footer">
    <w:name w:val="footer"/>
    <w:basedOn w:val="Normal"/>
    <w:link w:val="FooterChar"/>
    <w:uiPriority w:val="99"/>
    <w:unhideWhenUsed/>
    <w:rsid w:val="00CB56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564F"/>
  </w:style>
  <w:style w:type="paragraph" w:customStyle="1" w:styleId="BasicParagraph">
    <w:name w:val="[Basic Paragraph]"/>
    <w:basedOn w:val="Normal"/>
    <w:uiPriority w:val="99"/>
    <w:rsid w:val="00405369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334D05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334D05"/>
    <w:rPr>
      <w:rFonts w:ascii="Consolas" w:hAnsi="Consolas"/>
      <w:sz w:val="21"/>
      <w:szCs w:val="21"/>
    </w:rPr>
  </w:style>
  <w:style w:type="character" w:customStyle="1" w:styleId="Heading1Char">
    <w:name w:val="Heading 1 Char"/>
    <w:basedOn w:val="DefaultParagraphFont"/>
    <w:link w:val="Heading1"/>
    <w:rsid w:val="00DC28DB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1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64671D08C5054DBA1E8E5AB11A5379" ma:contentTypeVersion="0" ma:contentTypeDescription="Create a new document." ma:contentTypeScope="" ma:versionID="d21301770115598353851ca5e0e03ca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af08be3-da31-4ed0-bd15-c2f68cc29029">Q77AU6S3KYZS-318807024-27</_dlc_DocId>
    <_dlc_DocIdUrl xmlns="5af08be3-da31-4ed0-bd15-c2f68cc29029">
      <Url>https://www.aphlweb.org/cmt/wdc/CompTools/_layouts/15/DocIdRedir.aspx?ID=Q77AU6S3KYZS-318807024-27</Url>
      <Description>Q77AU6S3KYZS-318807024-27</Description>
    </_dlc_DocIdUrl>
    <Description xmlns="5af08be3-da31-4ed0-bd15-c2f68cc29029" xsi:nil="true"/>
  </documentManagement>
</p:properties>
</file>

<file path=customXml/itemProps1.xml><?xml version="1.0" encoding="utf-8"?>
<ds:datastoreItem xmlns:ds="http://schemas.openxmlformats.org/officeDocument/2006/customXml" ds:itemID="{50BF018A-085B-4E0A-AF0B-90080E25F668}"/>
</file>

<file path=customXml/itemProps2.xml><?xml version="1.0" encoding="utf-8"?>
<ds:datastoreItem xmlns:ds="http://schemas.openxmlformats.org/officeDocument/2006/customXml" ds:itemID="{F5B055CF-28BA-4902-A510-C9DBC4D10337}"/>
</file>

<file path=customXml/itemProps3.xml><?xml version="1.0" encoding="utf-8"?>
<ds:datastoreItem xmlns:ds="http://schemas.openxmlformats.org/officeDocument/2006/customXml" ds:itemID="{C581CA14-81BD-4C74-9DDA-80896EC84B9A}"/>
</file>

<file path=customXml/itemProps4.xml><?xml version="1.0" encoding="utf-8"?>
<ds:datastoreItem xmlns:ds="http://schemas.openxmlformats.org/officeDocument/2006/customXml" ds:itemID="{F5B055CF-28BA-4902-A510-C9DBC4D103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1730</Words>
  <Characters>9867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Laboratory Assistant</dc:title>
  <dc:subject/>
  <dc:creator>Susie Zanto</dc:creator>
  <cp:keywords/>
  <dc:description/>
  <cp:lastModifiedBy>Albrecht, Kristy | APHL</cp:lastModifiedBy>
  <cp:revision>4</cp:revision>
  <dcterms:created xsi:type="dcterms:W3CDTF">2017-05-30T20:21:00Z</dcterms:created>
  <dcterms:modified xsi:type="dcterms:W3CDTF">2017-06-02T14:25:00Z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9b681545-5c75-437e-bfdf-9fc1946021bc</vt:lpwstr>
  </property>
  <property fmtid="{D5CDD505-2E9C-101B-9397-08002B2CF9AE}" pid="3" name="ContentTypeId">
    <vt:lpwstr>0x0101003E64671D08C5054DBA1E8E5AB11A5379</vt:lpwstr>
  </property>
</Properties>
</file>